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5000" w:type="pct"/>
        <w:jc w:val="left"/>
        <w:tblInd w:w="0" w:type="dxa"/>
        <w:tblBorders/>
        <w:tblCellMar>
          <w:top w:w="0" w:type="dxa"/>
          <w:left w:w="0" w:type="dxa"/>
          <w:bottom w:w="0" w:type="dxa"/>
          <w:right w:w="0" w:type="dxa"/>
        </w:tblCellMar>
      </w:tblPr>
      <w:tblGrid>
        <w:gridCol w:w="9638"/>
      </w:tblGrid>
      <w:tr>
        <w:trPr/>
        <w:tc>
          <w:tcPr>
            <w:tcW w:w="9638" w:type="dxa"/>
            <w:tcBorders/>
            <w:shd w:fill="auto" w:val="clear"/>
            <w:vAlign w:val="center"/>
          </w:tcPr>
          <w:p>
            <w:pPr>
              <w:pStyle w:val="Heading1"/>
              <w:spacing w:before="240" w:after="120"/>
              <w:ind w:left="0" w:right="0" w:hanging="0"/>
              <w:jc w:val="center"/>
              <w:rPr>
                <w:rFonts w:ascii="Arial;sans-serif" w:hAnsi="Arial;sans-serif"/>
                <w:b/>
                <w:sz w:val="48"/>
              </w:rPr>
            </w:pPr>
            <w:r>
              <w:rPr>
                <w:rFonts w:ascii="Arial;sans-serif" w:hAnsi="Arial;sans-serif"/>
                <w:b/>
                <w:sz w:val="48"/>
              </w:rPr>
              <w:t xml:space="preserve">BEF COVID-19 update 15/05/20 - REVISED COPY </w:t>
            </w:r>
          </w:p>
          <w:p>
            <w:pPr>
              <w:pStyle w:val="Heading2"/>
              <w:spacing w:before="200" w:after="120"/>
              <w:ind w:left="0" w:right="0" w:hanging="0"/>
              <w:jc w:val="center"/>
              <w:rPr/>
            </w:pPr>
            <w:r>
              <w:rPr/>
              <w:t xml:space="preserve">​ </w:t>
            </w:r>
          </w:p>
        </w:tc>
      </w:tr>
      <w:tr>
        <w:trPr/>
        <w:tc>
          <w:tcPr>
            <w:tcW w:w="9638" w:type="dxa"/>
            <w:tcBorders/>
            <w:shd w:fill="auto" w:val="clear"/>
            <w:vAlign w:val="center"/>
          </w:tcPr>
          <w:p>
            <w:pPr>
              <w:pStyle w:val="TableContents"/>
              <w:spacing w:before="0" w:after="283"/>
              <w:rPr>
                <w:rFonts w:ascii="Arial;sans-serif" w:hAnsi="Arial;sans-serif"/>
              </w:rPr>
            </w:pPr>
            <w:r>
              <w:rPr>
                <w:rFonts w:ascii="Arial;sans-serif" w:hAnsi="Arial;sans-serif"/>
              </w:rPr>
              <w:t xml:space="preserve">15 May 2020 </w:t>
            </w:r>
          </w:p>
          <w:p>
            <w:pPr>
              <w:pStyle w:val="TableContents"/>
              <w:spacing w:before="0" w:after="0"/>
              <w:ind w:left="0" w:right="0" w:hanging="0"/>
              <w:rPr/>
            </w:pPr>
            <w:r>
              <w:rPr/>
              <w:t> </w:t>
            </w:r>
          </w:p>
          <w:p>
            <w:pPr>
              <w:pStyle w:val="TableContents"/>
              <w:spacing w:lineRule="auto" w:line="276" w:before="0" w:after="160"/>
              <w:ind w:left="0" w:right="0" w:hanging="0"/>
              <w:jc w:val="both"/>
              <w:rPr/>
            </w:pPr>
            <w:r>
              <w:rPr>
                <w:rStyle w:val="StrongEmphasis"/>
                <w:rFonts w:ascii="Calibri;sans-serif" w:hAnsi="Calibri;sans-serif"/>
              </w:rPr>
              <w:t>BEF COVID-19 update 15/05/20</w:t>
            </w:r>
          </w:p>
          <w:p>
            <w:pPr>
              <w:pStyle w:val="TableContents"/>
              <w:spacing w:lineRule="auto" w:line="276" w:before="0" w:after="160"/>
              <w:ind w:left="0" w:right="0" w:hanging="0"/>
              <w:jc w:val="both"/>
              <w:rPr/>
            </w:pPr>
            <w:r>
              <w:rPr>
                <w:rStyle w:val="StrongEmphasis"/>
                <w:rFonts w:ascii="Calibri;sans-serif" w:hAnsi="Calibri;sans-serif"/>
              </w:rPr>
              <w:t xml:space="preserve">The Department for Digital, Culture, Media and Sport (DCMS) issued further guidance on 13 May regarding outdoor facilities, as a follow-on from the government’s revised policy on exercise. This advice permits venues that provide outdoor sports and physical activities to reopen. At present, this applies to facilities in England, but we’re expecting an update from Wales shortly. </w:t>
            </w:r>
            <w:r>
              <w:rPr>
                <w:rStyle w:val="StrongEmphasis"/>
                <w:rFonts w:ascii="Calibri;sans-serif" w:hAnsi="Calibri;sans-serif"/>
                <w:color w:val="000000"/>
                <w:highlight w:val="yellow"/>
              </w:rPr>
              <w:t>The guidance for Scotland and Northern Ireland remains unchanged.</w:t>
            </w:r>
            <w:r>
              <w:rPr>
                <w:rStyle w:val="StrongEmphasis"/>
                <w:rFonts w:ascii="Calibri;sans-serif" w:hAnsi="Calibri;sans-serif"/>
              </w:rPr>
              <w:t xml:space="preserve"> </w:t>
            </w:r>
          </w:p>
          <w:p>
            <w:pPr>
              <w:pStyle w:val="TableContents"/>
              <w:spacing w:lineRule="auto" w:line="276" w:before="0" w:after="160"/>
              <w:ind w:left="0" w:right="0" w:hanging="0"/>
              <w:jc w:val="both"/>
              <w:rPr/>
            </w:pPr>
            <w:r>
              <w:rPr/>
              <w:t>For the equestrian industry, this includes riding centres, training facilities and venues, cross-country courses, farm rides and the like. Those involved with the facilities should feel adequately prepared to reopen and be confident that they can do so safely for their participants and staff.</w:t>
            </w:r>
          </w:p>
          <w:p>
            <w:pPr>
              <w:pStyle w:val="TableContents"/>
              <w:spacing w:lineRule="auto" w:line="276" w:before="0" w:after="160"/>
              <w:ind w:left="0" w:right="0" w:hanging="0"/>
              <w:jc w:val="both"/>
              <w:rPr/>
            </w:pPr>
            <w:r>
              <w:rPr/>
              <w:t>Requirements for opening include:</w:t>
            </w:r>
          </w:p>
          <w:p>
            <w:pPr>
              <w:pStyle w:val="TableContents"/>
              <w:spacing w:lineRule="auto" w:line="276" w:before="0" w:after="0"/>
              <w:ind w:left="1080" w:right="0" w:hanging="360"/>
              <w:jc w:val="both"/>
              <w:rPr/>
            </w:pPr>
            <w:r>
              <w:rPr>
                <w:rFonts w:ascii="Symbol" w:hAnsi="Symbol"/>
                <w:sz w:val="20"/>
              </w:rPr>
              <w:t>·</w:t>
            </w:r>
            <w:r>
              <w:rPr>
                <w:rFonts w:ascii="Symbol" w:hAnsi="Symbol"/>
                <w:caps w:val="false"/>
                <w:smallCaps w:val="false"/>
                <w:sz w:val="20"/>
              </w:rPr>
              <w:t xml:space="preserve">         </w:t>
            </w:r>
            <w:r>
              <w:rPr>
                <w:rFonts w:ascii="Calibri;sans-serif" w:hAnsi="Calibri;sans-serif"/>
                <w:sz w:val="22"/>
              </w:rPr>
              <w:t xml:space="preserve">Any activity should fully align with </w:t>
            </w:r>
            <w:r>
              <w:rPr>
                <w:rFonts w:ascii="Calibri;sans-serif" w:hAnsi="Calibri;sans-serif"/>
                <w:color w:val="0B0C0C"/>
                <w:sz w:val="22"/>
                <w:highlight w:val="white"/>
              </w:rPr>
              <w:t>government </w:t>
            </w:r>
            <w:hyperlink r:id="rId2">
              <w:r>
                <w:rPr>
                  <w:rStyle w:val="InternetLink"/>
                  <w:rFonts w:ascii="Calibri;sans-serif" w:hAnsi="Calibri;sans-serif"/>
                  <w:color w:val="4C2C92"/>
                  <w:sz w:val="22"/>
                  <w:highlight w:val="white"/>
                  <w:u w:val="single"/>
                </w:rPr>
                <w:t>guidance</w:t>
              </w:r>
            </w:hyperlink>
            <w:r>
              <w:rPr>
                <w:rFonts w:ascii="Calibri;sans-serif" w:hAnsi="Calibri;sans-serif"/>
                <w:color w:val="0B0C0C"/>
                <w:sz w:val="22"/>
                <w:highlight w:val="white"/>
              </w:rPr>
              <w:t> regarding public health, social distancing and hygiene</w:t>
            </w:r>
          </w:p>
          <w:p>
            <w:pPr>
              <w:pStyle w:val="TableContents"/>
              <w:spacing w:lineRule="auto" w:line="276" w:before="0" w:after="0"/>
              <w:ind w:left="1080" w:right="0" w:hanging="360"/>
              <w:jc w:val="both"/>
              <w:rPr>
                <w:rFonts w:ascii="Calibri;sans-serif" w:hAnsi="Calibri;sans-serif"/>
                <w:sz w:val="22"/>
              </w:rPr>
            </w:pPr>
            <w:r>
              <w:rPr>
                <w:rFonts w:ascii="Symbol" w:hAnsi="Symbol"/>
                <w:sz w:val="20"/>
              </w:rPr>
              <w:t>·</w:t>
            </w:r>
            <w:r>
              <w:rPr>
                <w:rFonts w:ascii="Symbol" w:hAnsi="Symbol"/>
                <w:caps w:val="false"/>
                <w:smallCaps w:val="false"/>
                <w:sz w:val="20"/>
              </w:rPr>
              <w:t xml:space="preserve">         </w:t>
            </w:r>
            <w:r>
              <w:rPr>
                <w:rFonts w:ascii="Calibri;sans-serif" w:hAnsi="Calibri;sans-serif"/>
                <w:color w:val="0B0C0C"/>
                <w:sz w:val="22"/>
                <w:highlight w:val="white"/>
              </w:rPr>
              <w:t xml:space="preserve">All attendees can maintain the social distancing standard of two metres </w:t>
            </w:r>
          </w:p>
          <w:p>
            <w:pPr>
              <w:pStyle w:val="TableContents"/>
              <w:spacing w:lineRule="auto" w:line="276" w:before="0" w:after="0"/>
              <w:ind w:left="1080" w:right="0" w:hanging="360"/>
              <w:jc w:val="both"/>
              <w:rPr>
                <w:rFonts w:ascii="Calibri;sans-serif" w:hAnsi="Calibri;sans-serif"/>
                <w:sz w:val="22"/>
              </w:rPr>
            </w:pPr>
            <w:r>
              <w:rPr>
                <w:rFonts w:ascii="Symbol" w:hAnsi="Symbol"/>
                <w:sz w:val="20"/>
              </w:rPr>
              <w:t>·</w:t>
            </w:r>
            <w:r>
              <w:rPr>
                <w:rFonts w:ascii="Symbol" w:hAnsi="Symbol"/>
                <w:caps w:val="false"/>
                <w:smallCaps w:val="false"/>
                <w:sz w:val="20"/>
              </w:rPr>
              <w:t xml:space="preserve">         </w:t>
            </w:r>
            <w:r>
              <w:rPr>
                <w:rFonts w:ascii="Calibri;sans-serif" w:hAnsi="Calibri;sans-serif"/>
                <w:color w:val="0B0C0C"/>
                <w:sz w:val="22"/>
                <w:highlight w:val="white"/>
              </w:rPr>
              <w:t xml:space="preserve">Good hygiene practice is implemented throughout opening, including hand washing facilities and/or hand sanitizer stations, and regular cleaning </w:t>
            </w:r>
          </w:p>
          <w:p>
            <w:pPr>
              <w:pStyle w:val="TableContents"/>
              <w:spacing w:lineRule="auto" w:line="276" w:before="0" w:after="0"/>
              <w:ind w:left="1080" w:right="0" w:hanging="360"/>
              <w:jc w:val="both"/>
              <w:rPr>
                <w:rFonts w:ascii="Calibri;sans-serif" w:hAnsi="Calibri;sans-serif"/>
                <w:sz w:val="22"/>
              </w:rPr>
            </w:pPr>
            <w:r>
              <w:rPr>
                <w:rFonts w:ascii="Symbol" w:hAnsi="Symbol"/>
                <w:sz w:val="20"/>
              </w:rPr>
              <w:t>·</w:t>
            </w:r>
            <w:r>
              <w:rPr>
                <w:rFonts w:ascii="Symbol" w:hAnsi="Symbol"/>
                <w:caps w:val="false"/>
                <w:smallCaps w:val="false"/>
                <w:sz w:val="20"/>
              </w:rPr>
              <w:t xml:space="preserve">         </w:t>
            </w:r>
            <w:r>
              <w:rPr>
                <w:rFonts w:ascii="Calibri;sans-serif" w:hAnsi="Calibri;sans-serif"/>
                <w:color w:val="0B0C0C"/>
                <w:sz w:val="22"/>
                <w:highlight w:val="white"/>
              </w:rPr>
              <w:t>Anyone involved who is</w:t>
            </w:r>
            <w:r>
              <w:rPr>
                <w:rFonts w:ascii="Calibri;sans-serif" w:hAnsi="Calibri;sans-serif"/>
                <w:sz w:val="22"/>
              </w:rPr>
              <w:t xml:space="preserve"> </w:t>
            </w:r>
            <w:r>
              <w:rPr>
                <w:rFonts w:ascii="Calibri;sans-serif" w:hAnsi="Calibri;sans-serif"/>
                <w:color w:val="0B0C0C"/>
                <w:sz w:val="22"/>
                <w:highlight w:val="white"/>
              </w:rPr>
              <w:t>symptomatic or suspects they have been exposed to the virus does not take part and remains at home.</w:t>
            </w:r>
          </w:p>
          <w:p>
            <w:pPr>
              <w:pStyle w:val="TableContents"/>
              <w:spacing w:lineRule="auto" w:line="276" w:before="0" w:after="0"/>
              <w:ind w:left="1080" w:right="0" w:hanging="360"/>
              <w:jc w:val="both"/>
              <w:rPr>
                <w:rFonts w:ascii="Calibri;sans-serif" w:hAnsi="Calibri;sans-serif"/>
                <w:sz w:val="22"/>
              </w:rPr>
            </w:pPr>
            <w:r>
              <w:rPr>
                <w:rFonts w:ascii="Symbol" w:hAnsi="Symbol"/>
                <w:sz w:val="20"/>
              </w:rPr>
              <w:t>·</w:t>
            </w:r>
            <w:r>
              <w:rPr>
                <w:rFonts w:ascii="Symbol" w:hAnsi="Symbol"/>
                <w:caps w:val="false"/>
                <w:smallCaps w:val="false"/>
                <w:sz w:val="20"/>
              </w:rPr>
              <w:t xml:space="preserve">         </w:t>
            </w:r>
            <w:r>
              <w:rPr>
                <w:rFonts w:ascii="Calibri;sans-serif" w:hAnsi="Calibri;sans-serif"/>
                <w:color w:val="0B0C0C"/>
                <w:sz w:val="22"/>
                <w:highlight w:val="white"/>
              </w:rPr>
              <w:t>Participants should be individuals, members of the same household, or two from different households with social distancing at all times. Any coaching activity must be on a one-to-one basis.</w:t>
            </w:r>
          </w:p>
          <w:p>
            <w:pPr>
              <w:pStyle w:val="TableContents"/>
              <w:spacing w:lineRule="auto" w:line="276" w:before="0" w:after="0"/>
              <w:ind w:left="1080" w:right="0" w:hanging="360"/>
              <w:jc w:val="both"/>
              <w:rPr>
                <w:rFonts w:ascii="Calibri;sans-serif" w:hAnsi="Calibri;sans-serif"/>
                <w:sz w:val="22"/>
              </w:rPr>
            </w:pPr>
            <w:r>
              <w:rPr>
                <w:rFonts w:ascii="Symbol" w:hAnsi="Symbol"/>
                <w:sz w:val="20"/>
              </w:rPr>
              <w:t>·</w:t>
            </w:r>
            <w:r>
              <w:rPr>
                <w:rFonts w:ascii="Symbol" w:hAnsi="Symbol"/>
                <w:caps w:val="false"/>
                <w:smallCaps w:val="false"/>
                <w:sz w:val="20"/>
              </w:rPr>
              <w:t xml:space="preserve">         </w:t>
            </w:r>
            <w:r>
              <w:rPr>
                <w:rFonts w:ascii="Calibri;sans-serif" w:hAnsi="Calibri;sans-serif"/>
                <w:color w:val="0B0C0C"/>
                <w:sz w:val="22"/>
                <w:highlight w:val="white"/>
              </w:rPr>
              <w:t>Organisations/venues should publish an action plan detailing their plans to re-open safely and how they’re managing risk</w:t>
            </w:r>
          </w:p>
          <w:p>
            <w:pPr>
              <w:pStyle w:val="TableContents"/>
              <w:spacing w:lineRule="auto" w:line="276" w:before="0" w:after="0"/>
              <w:ind w:left="1080" w:right="0" w:hanging="360"/>
              <w:jc w:val="both"/>
              <w:rPr>
                <w:rFonts w:ascii="Calibri;sans-serif" w:hAnsi="Calibri;sans-serif"/>
                <w:sz w:val="22"/>
              </w:rPr>
            </w:pPr>
            <w:r>
              <w:rPr>
                <w:rFonts w:ascii="Symbol" w:hAnsi="Symbol"/>
                <w:sz w:val="20"/>
              </w:rPr>
              <w:t>·</w:t>
            </w:r>
            <w:r>
              <w:rPr>
                <w:rFonts w:ascii="Symbol" w:hAnsi="Symbol"/>
                <w:caps w:val="false"/>
                <w:smallCaps w:val="false"/>
                <w:sz w:val="20"/>
              </w:rPr>
              <w:t xml:space="preserve">         </w:t>
            </w:r>
            <w:r>
              <w:rPr>
                <w:rFonts w:ascii="Calibri;sans-serif" w:hAnsi="Calibri;sans-serif"/>
                <w:color w:val="0B0C0C"/>
                <w:sz w:val="22"/>
                <w:highlight w:val="white"/>
              </w:rPr>
              <w:t>Organisations/venues should be flexible and able to quickly adapt to any changes in government guidelines</w:t>
            </w:r>
          </w:p>
          <w:p>
            <w:pPr>
              <w:pStyle w:val="TableContents"/>
              <w:spacing w:lineRule="auto" w:line="276" w:before="0" w:after="0"/>
              <w:ind w:left="1080" w:right="0" w:hanging="360"/>
              <w:jc w:val="both"/>
              <w:rPr>
                <w:rFonts w:ascii="Calibri;sans-serif" w:hAnsi="Calibri;sans-serif"/>
                <w:sz w:val="22"/>
              </w:rPr>
            </w:pPr>
            <w:r>
              <w:rPr>
                <w:rFonts w:ascii="Symbol" w:hAnsi="Symbol"/>
                <w:sz w:val="20"/>
              </w:rPr>
              <w:t>·</w:t>
            </w:r>
            <w:r>
              <w:rPr>
                <w:rFonts w:ascii="Symbol" w:hAnsi="Symbol"/>
                <w:caps w:val="false"/>
                <w:smallCaps w:val="false"/>
                <w:sz w:val="20"/>
              </w:rPr>
              <w:t xml:space="preserve">         </w:t>
            </w:r>
            <w:r>
              <w:rPr>
                <w:rFonts w:ascii="Calibri;sans-serif" w:hAnsi="Calibri;sans-serif"/>
                <w:color w:val="0B0C0C"/>
                <w:sz w:val="22"/>
                <w:highlight w:val="white"/>
              </w:rPr>
              <w:t>Car/lorry parking should be conducted to allow adequate social distancing</w:t>
            </w:r>
          </w:p>
          <w:p>
            <w:pPr>
              <w:pStyle w:val="TableContents"/>
              <w:spacing w:lineRule="auto" w:line="276" w:before="0" w:after="0"/>
              <w:ind w:left="1080" w:right="0" w:hanging="360"/>
              <w:jc w:val="both"/>
              <w:rPr>
                <w:rFonts w:ascii="Calibri;sans-serif" w:hAnsi="Calibri;sans-serif"/>
                <w:sz w:val="22"/>
              </w:rPr>
            </w:pPr>
            <w:r>
              <w:rPr>
                <w:rFonts w:ascii="Symbol" w:hAnsi="Symbol"/>
                <w:sz w:val="20"/>
              </w:rPr>
              <w:t>·</w:t>
            </w:r>
            <w:r>
              <w:rPr>
                <w:rFonts w:ascii="Symbol" w:hAnsi="Symbol"/>
                <w:caps w:val="false"/>
                <w:smallCaps w:val="false"/>
                <w:sz w:val="20"/>
              </w:rPr>
              <w:t xml:space="preserve">         </w:t>
            </w:r>
            <w:r>
              <w:rPr>
                <w:rFonts w:ascii="Calibri;sans-serif" w:hAnsi="Calibri;sans-serif"/>
                <w:sz w:val="22"/>
              </w:rPr>
              <w:t>Booking and payment should be done online or over the phone to reduce contact</w:t>
            </w:r>
          </w:p>
          <w:p>
            <w:pPr>
              <w:pStyle w:val="TableContents"/>
              <w:spacing w:lineRule="auto" w:line="276" w:before="0" w:after="160"/>
              <w:ind w:left="1080" w:right="0" w:hanging="360"/>
              <w:jc w:val="both"/>
              <w:rPr>
                <w:rFonts w:ascii="Calibri;sans-serif" w:hAnsi="Calibri;sans-serif"/>
                <w:sz w:val="22"/>
              </w:rPr>
            </w:pPr>
            <w:r>
              <w:rPr>
                <w:rFonts w:ascii="Symbol" w:hAnsi="Symbol"/>
                <w:sz w:val="20"/>
              </w:rPr>
              <w:t>·</w:t>
            </w:r>
            <w:r>
              <w:rPr>
                <w:rFonts w:ascii="Symbol" w:hAnsi="Symbol"/>
                <w:caps w:val="false"/>
                <w:smallCaps w:val="false"/>
                <w:sz w:val="20"/>
              </w:rPr>
              <w:t xml:space="preserve">         </w:t>
            </w:r>
            <w:r>
              <w:rPr>
                <w:rFonts w:ascii="Calibri;sans-serif" w:hAnsi="Calibri;sans-serif"/>
                <w:sz w:val="22"/>
              </w:rPr>
              <w:t>Indoor areas should remain closed except for access to outdoor facilities and/or toilets. Food and drink outlets should only operate on a take-away basis. It’s our understanding that indoor schools should remain closed.</w:t>
            </w:r>
          </w:p>
          <w:p>
            <w:pPr>
              <w:pStyle w:val="TableContents"/>
              <w:spacing w:lineRule="auto" w:line="276" w:before="0" w:after="160"/>
              <w:ind w:left="0" w:right="0" w:hanging="0"/>
              <w:jc w:val="both"/>
              <w:rPr/>
            </w:pPr>
            <w:r>
              <w:rPr/>
              <w:t>Participants should make use of facilities individually, with members of their own household or with one person from an additional household, provided that social distancing is maintained. This could be a coach, trainer or additional participant.</w:t>
            </w:r>
          </w:p>
          <w:p>
            <w:pPr>
              <w:pStyle w:val="TableContents"/>
              <w:spacing w:lineRule="auto" w:line="276" w:before="0" w:after="160"/>
              <w:ind w:left="0" w:right="0" w:hanging="0"/>
              <w:jc w:val="both"/>
              <w:rPr/>
            </w:pPr>
            <w:r>
              <w:rPr/>
              <w:t xml:space="preserve">Horses can be transported to venues freely, but anyone involved in helping with the travelling must be from the same household only. This also applies when travelling by car. Where participants are under-18, a parent or guardian may be present for one to one training sessions for safeguarding purposes, but must adhere to social distancing and hygiene requirements. Read more on the </w:t>
            </w:r>
            <w:hyperlink r:id="rId3">
              <w:r>
                <w:rPr>
                  <w:rStyle w:val="InternetLink"/>
                </w:rPr>
                <w:t>government’s guidance for the public on returning to outdoor sport and recreation</w:t>
              </w:r>
            </w:hyperlink>
            <w:r>
              <w:rPr/>
              <w:t>.</w:t>
            </w:r>
          </w:p>
          <w:p>
            <w:pPr>
              <w:pStyle w:val="TableContents"/>
              <w:spacing w:lineRule="auto" w:line="276" w:before="0" w:after="160"/>
              <w:ind w:left="0" w:right="0" w:hanging="0"/>
              <w:jc w:val="both"/>
              <w:rPr/>
            </w:pPr>
            <w:r>
              <w:rPr/>
              <w:t>British Equestrian advises any operators looking to open their premises to read the full guidance available:</w:t>
            </w:r>
          </w:p>
          <w:p>
            <w:pPr>
              <w:pStyle w:val="TableContents"/>
              <w:spacing w:lineRule="auto" w:line="276" w:before="0" w:after="160"/>
              <w:ind w:left="0" w:right="0" w:hanging="0"/>
              <w:jc w:val="both"/>
              <w:rPr/>
            </w:pPr>
            <w:hyperlink r:id="rId4">
              <w:r>
                <w:rPr>
                  <w:rStyle w:val="InternetLink"/>
                </w:rPr>
                <w:t>GOV.UK – guidance for providers of outdoor facilities</w:t>
              </w:r>
            </w:hyperlink>
          </w:p>
          <w:p>
            <w:pPr>
              <w:pStyle w:val="TableContents"/>
              <w:spacing w:lineRule="auto" w:line="276" w:before="0" w:after="160"/>
              <w:ind w:left="0" w:right="0" w:hanging="0"/>
              <w:jc w:val="both"/>
              <w:rPr/>
            </w:pPr>
            <w:hyperlink r:id="rId5">
              <w:r>
                <w:rPr>
                  <w:rStyle w:val="InternetLink"/>
                </w:rPr>
                <w:t>Sport &amp; Recreation Alliance facilities guidance</w:t>
              </w:r>
            </w:hyperlink>
          </w:p>
          <w:p>
            <w:pPr>
              <w:pStyle w:val="TableContents"/>
              <w:spacing w:lineRule="auto" w:line="276" w:before="0" w:after="160"/>
              <w:ind w:left="0" w:right="0" w:hanging="0"/>
              <w:jc w:val="both"/>
              <w:rPr/>
            </w:pPr>
            <w:hyperlink r:id="rId6">
              <w:r>
                <w:rPr>
                  <w:rStyle w:val="InternetLink"/>
                </w:rPr>
                <w:t>Sport England facilities guidance</w:t>
              </w:r>
            </w:hyperlink>
          </w:p>
          <w:p>
            <w:pPr>
              <w:pStyle w:val="TableContents"/>
              <w:spacing w:lineRule="auto" w:line="276" w:before="0" w:after="160"/>
              <w:ind w:left="0" w:right="0" w:hanging="0"/>
              <w:jc w:val="both"/>
              <w:rPr/>
            </w:pPr>
            <w:r>
              <w:rPr/>
              <w:t> </w:t>
            </w:r>
          </w:p>
          <w:p>
            <w:pPr>
              <w:pStyle w:val="TableContents"/>
              <w:spacing w:lineRule="auto" w:line="276" w:before="0" w:after="160"/>
              <w:ind w:left="0" w:right="0" w:hanging="0"/>
              <w:jc w:val="center"/>
              <w:rPr/>
            </w:pPr>
            <w:r>
              <w:rPr>
                <w:rStyle w:val="Emphasis"/>
                <w:rFonts w:ascii="Calibri;sans-serif" w:hAnsi="Calibri;sans-serif"/>
              </w:rPr>
              <w:t>- ends –</w:t>
            </w:r>
          </w:p>
          <w:p>
            <w:pPr>
              <w:pStyle w:val="TableContents"/>
              <w:spacing w:lineRule="auto" w:line="276" w:before="0" w:after="160"/>
              <w:ind w:left="0" w:right="0" w:hanging="0"/>
              <w:rPr/>
            </w:pPr>
            <w:r>
              <w:rPr/>
              <w:t>Media contact:</w:t>
            </w:r>
          </w:p>
          <w:p>
            <w:pPr>
              <w:pStyle w:val="TableContents"/>
              <w:spacing w:lineRule="auto" w:line="276" w:before="0" w:after="0"/>
              <w:ind w:left="0" w:right="0" w:hanging="0"/>
              <w:rPr/>
            </w:pPr>
            <w:r>
              <w:rPr/>
              <w:t>Winnie Murphy, BEF Head of Communications</w:t>
              <w:br/>
              <w:t xml:space="preserve">E | </w:t>
            </w:r>
            <w:hyperlink r:id="rId7">
              <w:r>
                <w:rPr>
                  <w:rStyle w:val="InternetLink"/>
                  <w:color w:val="0000FF"/>
                  <w:u w:val="single"/>
                </w:rPr>
                <w:t>winnie.murphy@bef.co.uk</w:t>
              </w:r>
            </w:hyperlink>
            <w:r>
              <w:rPr/>
              <w:br/>
              <w:t>M | 07809 826842</w:t>
            </w:r>
          </w:p>
        </w:tc>
      </w:tr>
    </w:tbl>
    <w:p>
      <w:pPr>
        <w:pStyle w:val="Normal"/>
        <w:rPr/>
      </w:pPr>
      <w:r>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Liberation Sans">
    <w:altName w:val="Arial"/>
    <w:charset w:val="01"/>
    <w:family w:val="swiss"/>
    <w:pitch w:val="default"/>
  </w:font>
  <w:font w:name="Calibri">
    <w:charset w:val="01"/>
    <w:family w:val="swiss"/>
    <w:pitch w:val="default"/>
  </w:font>
  <w:font w:name="Arial">
    <w:altName w:val="sans-serif"/>
    <w:charset w:val="01"/>
    <w:family w:val="auto"/>
    <w:pitch w:val="default"/>
  </w:font>
  <w:font w:name="Calibri">
    <w:altName w:val="sans-serif"/>
    <w:charset w:val="01"/>
    <w:family w:val="auto"/>
    <w:pitch w:val="default"/>
  </w:font>
  <w:font w:name="Symbol">
    <w:charset w:val="01"/>
    <w:family w:val="auto"/>
    <w:pitch w:val="default"/>
  </w:font>
</w:fonts>
</file>

<file path=word/settings.xml><?xml version="1.0" encoding="utf-8"?>
<w:settings xmlns:w="http://schemas.openxmlformats.org/wordprocessingml/2006/main">
  <w:zoom w:percent="12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ans CJK SC Regular" w:cs="Lohit Devanagari"/>
        <w:kern w:val="2"/>
        <w:sz w:val="24"/>
        <w:szCs w:val="24"/>
        <w:lang w:val="en-GB"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Times New Roman" w:hAnsi="Times New Roman" w:eastAsia="Noto Sans CJK SC Regular" w:cs="Lohit Devanagari"/>
      <w:color w:val="auto"/>
      <w:kern w:val="2"/>
      <w:sz w:val="24"/>
      <w:szCs w:val="24"/>
      <w:lang w:val="en-GB" w:eastAsia="zh-CN" w:bidi="hi-IN"/>
    </w:rPr>
  </w:style>
  <w:style w:type="paragraph" w:styleId="Heading1">
    <w:name w:val="Heading 1"/>
    <w:basedOn w:val="Heading"/>
    <w:next w:val="TextBody"/>
    <w:qFormat/>
    <w:pPr>
      <w:numPr>
        <w:ilvl w:val="0"/>
        <w:numId w:val="0"/>
      </w:numPr>
      <w:spacing w:before="240" w:after="120"/>
      <w:outlineLvl w:val="0"/>
    </w:pPr>
    <w:rPr>
      <w:rFonts w:ascii="Liberation Serif" w:hAnsi="Liberation Serif" w:eastAsia="Noto Sans CJK SC Regular" w:cs="Lohit Devanagari"/>
      <w:b/>
      <w:bCs/>
      <w:sz w:val="48"/>
      <w:szCs w:val="48"/>
    </w:rPr>
  </w:style>
  <w:style w:type="paragraph" w:styleId="Heading2">
    <w:name w:val="Heading 2"/>
    <w:basedOn w:val="Heading"/>
    <w:next w:val="TextBody"/>
    <w:qFormat/>
    <w:pPr>
      <w:numPr>
        <w:ilvl w:val="0"/>
        <w:numId w:val="0"/>
      </w:numPr>
      <w:spacing w:before="200" w:after="120"/>
      <w:outlineLvl w:val="1"/>
    </w:pPr>
    <w:rPr>
      <w:rFonts w:ascii="Liberation Serif" w:hAnsi="Liberation Serif" w:eastAsia="Noto Sans CJK SC Regular" w:cs="Lohit Devanagari"/>
      <w:b/>
      <w:bCs/>
      <w:sz w:val="36"/>
      <w:szCs w:val="36"/>
    </w:rPr>
  </w:style>
  <w:style w:type="character" w:styleId="StrongEmphasis">
    <w:name w:val="Strong Emphasis"/>
    <w:qFormat/>
    <w:rPr>
      <w:b/>
      <w:bCs/>
    </w:rPr>
  </w:style>
  <w:style w:type="character" w:styleId="InternetLink">
    <w:name w:val="Internet Link"/>
    <w:rPr>
      <w:color w:val="000080"/>
      <w:u w:val="single"/>
      <w:lang w:val="zxx" w:eastAsia="zxx" w:bidi="zxx"/>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Arial" w:hAnsi="Liberation Sans;Arial"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Calibri" w:hAnsi="Calibri" w:cs="Lohit Devanagari"/>
    </w:rPr>
  </w:style>
  <w:style w:type="paragraph" w:styleId="Caption">
    <w:name w:val="Caption"/>
    <w:basedOn w:val="Normal"/>
    <w:qFormat/>
    <w:pPr>
      <w:suppressLineNumbers/>
      <w:spacing w:before="120" w:after="120"/>
    </w:pPr>
    <w:rPr>
      <w:rFonts w:ascii="Times New Roman" w:hAnsi="Times New Roman" w:cs="Lohit Devanagari"/>
      <w:i/>
      <w:iCs/>
      <w:sz w:val="24"/>
      <w:szCs w:val="24"/>
    </w:rPr>
  </w:style>
  <w:style w:type="paragraph" w:styleId="Index">
    <w:name w:val="Index"/>
    <w:basedOn w:val="Normal"/>
    <w:qFormat/>
    <w:pPr>
      <w:suppressLineNumbers/>
    </w:pPr>
    <w:rPr>
      <w:rFonts w:ascii="Times New Roman" w:hAnsi="Times New Roman" w:cs="Lohit Devanagari"/>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tracking.vuelio.co.uk/tracking/click?d=aJaYHBqWhE4C1Ru-KUU7rqGxqMBuj_XyKhdJiofCZcpa5VCVvxmXTHih5Kk4ZYGRA8glNxLi4QL8GvhQmn3CX3MJzm6I7YAXwRrI8i5mWIKNXjqP6YOKrtLeh_QeH3He1TLmvtK_kIXIoMhMoKIrH86lSHb3L0Yfqy0q2cdeKJtYRKE783ygqDiUSWhgXt9SEjVP0BqQ07F1Pro0U89ulM81" TargetMode="External"/><Relationship Id="rId3" Type="http://schemas.openxmlformats.org/officeDocument/2006/relationships/hyperlink" Target="http://tracking.vuelio.co.uk/tracking/click?d=6SF9vJ2Da9cPqN4Y4FaSRkLZLEuP9BGmoRD8RUOlLKdRFem0ijaHghfBzs-nrdDF46cnUo15ZCjGoK9CmZ0eZCD7DHhUQFEDdGoWCri5-qoZBEcCUTdMzyy_uSALs0_d8V3jSAWF8lPyA2Lf1eZo7Vw8Xpx8lAc8QqrqM3czDGbOgjmjlwg-jmwxpfJd1s1EePfoE_QkOE8FZm1sJQauxtBmE2vtcjZsixPRN3Hb1eUNWwR8bD7MV4Nq845Ckiy80yb4YHyFBdi9ZLgcBsZXcselPG3o1hSlROj-tIboJ86DL6fzeLb2yWf_lCkQMcVkq-8vj1RmOj0rTISPe-qqT-IyAOo5xFGWtkPdv8THfH6E0" TargetMode="External"/><Relationship Id="rId4" Type="http://schemas.openxmlformats.org/officeDocument/2006/relationships/hyperlink" Target="http://tracking.vuelio.co.uk/tracking/click?d=X9f8g_UJk5zCNurpUKagsH2By5i2C-xgK0RbiQcNhss9THKMNWLdgAVNVnf4A9xsXCYYeq2zM8Vr95tyv8AEhpl9xP6QLKQncuDVAQXQtBg5fCwA9dFXWWqBHV3sGJ6gsb9apArhErficEN2cVhTBPF4i-DNoaDyiWKoedPrstsO2_90oN082TeFJY6kiI0j0M58xFR46JKbT1ii9UcwyxY93lUOaEugnhoyOxdlSpVnMLIL-imH6FFPCiXPD6lEdbcQGWYlh7FYCcn1TegX07NioUAZV93I1XnUKSeUS2bjB_aMWExLY89LlQ7ASHqwgnOcQjq8h3zjUMK8wpOaoFPykbxWlieS-lJmLuz5_ftELmGEBdfn7i0A3xAfnJ3e9g2" TargetMode="External"/><Relationship Id="rId5" Type="http://schemas.openxmlformats.org/officeDocument/2006/relationships/hyperlink" Target="http://tracking.vuelio.co.uk/tracking/click?d=VZQXKNJ-bVsK-TTJ4b8p32_f79afYYNRb9JtplIotJI0cZuZk030CkkD7jl8D-8opYMhYO6NlowhoOqN4gpqCXpqLaR0OG8IBU5yt3SzCY0KHdCjF-X07y5cnZsHcgpl87CRpqyyhHeODfK12Z1PgV1zo-xcHuJNVScT4QyReIQyvmT0tAgc0EiLPp-BZ4sEvjIWTGNZ-eVqEA-vqARZoGw1" TargetMode="External"/><Relationship Id="rId6" Type="http://schemas.openxmlformats.org/officeDocument/2006/relationships/hyperlink" Target="http://tracking.vuelio.co.uk/tracking/click?d=4Ai5xFcNJsefALTltI0NzzxDalUvIZd9bFB5yqPdiZ3VlEdLF9tJJog9we591RIXck8FPJxU6HuBVSXDMhaw0PsNugxMxbA-UFeYle4CbJumpGgI8Dqr22db2GftHyrNF4eqAz4n2KzW5gB_ciFNfkuXYH2b_JVwoU4I3N0j35Dk2bP_EabVdrtU9d-mXnuyW9gTQ5RPvcShjUlLPwvRlfE3aAL68WJoogQPIaFCSreWHudEow25zyFhms3hglkepw2" TargetMode="External"/><Relationship Id="rId7" Type="http://schemas.openxmlformats.org/officeDocument/2006/relationships/hyperlink" Target="mailto:winnie.murphy@bef.co.uk" TargetMode="Externa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LibreOffice/6.0.7.3$Linux_X86_64 LibreOffice_project/00m0$Build-3</Application>
  <Pages>2</Pages>
  <Words>482</Words>
  <Characters>2705</Characters>
  <CharactersWithSpaces>3253</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2020-05-21T16:49:07Z</dcterms:created>
  <dc:creator/>
  <dc:description/>
  <dc:language>en-GB</dc:language>
  <cp:lastModifiedBy/>
  <dcterms:modified xsi:type="dcterms:W3CDTF">2020-05-21T16:49:58Z</dcterms:modified>
  <cp:revision>1</cp:revision>
  <dc:subject/>
  <dc:title/>
</cp:coreProperties>
</file>